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02" w:rsidRPr="00A95F02" w:rsidRDefault="00A95F02" w:rsidP="00A95F02">
      <w:pPr>
        <w:spacing w:after="0" w:line="240" w:lineRule="auto"/>
        <w:ind w:left="284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95F02">
        <w:rPr>
          <w:rFonts w:ascii="Times New Roman" w:hAnsi="Times New Roman"/>
          <w:b/>
          <w:sz w:val="28"/>
          <w:szCs w:val="28"/>
          <w:lang w:eastAsia="uk-UA"/>
        </w:rPr>
        <w:t xml:space="preserve">ПРОЄКТ                                                           </w:t>
      </w:r>
      <w:r w:rsidRPr="00A95F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95F02" w:rsidRPr="00A95F02" w:rsidRDefault="00A95F02" w:rsidP="00A95F02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F02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14C16EB1" wp14:editId="5BC04AAD">
            <wp:extent cx="304800" cy="431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02" w:rsidRPr="00A95F02" w:rsidRDefault="00A95F02" w:rsidP="00A95F02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F02">
        <w:rPr>
          <w:rFonts w:ascii="Times New Roman" w:hAnsi="Times New Roman"/>
          <w:b/>
          <w:bCs/>
          <w:sz w:val="28"/>
          <w:szCs w:val="28"/>
        </w:rPr>
        <w:t>СХІДНИЦЬКА СЕЛИЩНА РАДА</w:t>
      </w:r>
    </w:p>
    <w:p w:rsidR="00A95F02" w:rsidRPr="00A95F02" w:rsidRDefault="00A95F02" w:rsidP="00A95F02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F02">
        <w:rPr>
          <w:rFonts w:ascii="Times New Roman" w:hAnsi="Times New Roman"/>
          <w:b/>
          <w:bCs/>
          <w:sz w:val="28"/>
          <w:szCs w:val="28"/>
        </w:rPr>
        <w:t>ЛЬВІВСЬКОЇ ОБЛАСТІ</w:t>
      </w:r>
    </w:p>
    <w:p w:rsidR="00A95F02" w:rsidRPr="00A95F02" w:rsidRDefault="00A95F02" w:rsidP="00A95F02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F02">
        <w:rPr>
          <w:rFonts w:ascii="Times New Roman" w:hAnsi="Times New Roman"/>
          <w:b/>
          <w:bCs/>
          <w:sz w:val="28"/>
          <w:szCs w:val="28"/>
        </w:rPr>
        <w:t>ХХ</w:t>
      </w:r>
      <w:r w:rsidRPr="00A95F02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A95F02">
        <w:rPr>
          <w:rFonts w:ascii="Times New Roman" w:hAnsi="Times New Roman"/>
          <w:b/>
          <w:bCs/>
          <w:sz w:val="28"/>
          <w:szCs w:val="28"/>
        </w:rPr>
        <w:t>ІІ сесія восьмого скликання</w:t>
      </w:r>
    </w:p>
    <w:p w:rsidR="00A95F02" w:rsidRPr="00A95F02" w:rsidRDefault="00A95F02" w:rsidP="00A95F02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02" w:rsidRPr="00A95F02" w:rsidRDefault="00A95F02" w:rsidP="00A95F02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F02">
        <w:rPr>
          <w:rFonts w:ascii="Times New Roman" w:hAnsi="Times New Roman"/>
          <w:b/>
          <w:bCs/>
          <w:sz w:val="28"/>
          <w:szCs w:val="28"/>
        </w:rPr>
        <w:t>Р І Ш Е Н Н Я</w:t>
      </w:r>
    </w:p>
    <w:p w:rsidR="00A95F02" w:rsidRPr="00A95F02" w:rsidRDefault="00A95F02" w:rsidP="00A95F02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02" w:rsidRPr="00A95F02" w:rsidRDefault="00A95F02" w:rsidP="00A95F02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95F02">
        <w:rPr>
          <w:rFonts w:ascii="Times New Roman" w:hAnsi="Times New Roman"/>
          <w:b/>
          <w:bCs/>
          <w:sz w:val="28"/>
          <w:szCs w:val="28"/>
        </w:rPr>
        <w:t xml:space="preserve">08.03.2024 року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F02">
        <w:rPr>
          <w:rFonts w:ascii="Times New Roman" w:hAnsi="Times New Roman"/>
          <w:b/>
          <w:bCs/>
          <w:sz w:val="28"/>
          <w:szCs w:val="28"/>
        </w:rPr>
        <w:t xml:space="preserve">   Східниця                                         № </w:t>
      </w:r>
    </w:p>
    <w:p w:rsidR="00B1223A" w:rsidRPr="009D2FBE" w:rsidRDefault="00B1223A" w:rsidP="00B12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23A" w:rsidRPr="00B1223A" w:rsidRDefault="00B1223A" w:rsidP="007C28BB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1223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безоплатну передачу </w:t>
      </w:r>
    </w:p>
    <w:p w:rsidR="00B1223A" w:rsidRDefault="00B1223A" w:rsidP="007C28BB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1223A">
        <w:rPr>
          <w:rFonts w:ascii="Times New Roman CYR" w:hAnsi="Times New Roman CYR" w:cs="Times New Roman CYR"/>
          <w:b/>
          <w:bCs/>
          <w:sz w:val="28"/>
          <w:szCs w:val="28"/>
        </w:rPr>
        <w:t>майна на потреби ЗСУ</w:t>
      </w:r>
    </w:p>
    <w:p w:rsidR="007C28BB" w:rsidRDefault="007C28BB" w:rsidP="007C28BB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223A" w:rsidRDefault="00D566DB" w:rsidP="007C28BB">
      <w:pPr>
        <w:spacing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7C28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C689C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2C689C">
        <w:rPr>
          <w:rFonts w:ascii="Times New Roman CYR" w:hAnsi="Times New Roman CYR" w:cs="Times New Roman CYR"/>
          <w:bCs/>
          <w:sz w:val="28"/>
          <w:szCs w:val="28"/>
        </w:rPr>
        <w:t xml:space="preserve">Керуючись пунктом 30 частини 1 статті </w:t>
      </w:r>
      <w:r w:rsidRPr="007C28BB">
        <w:rPr>
          <w:rFonts w:ascii="Times New Roman CYR" w:hAnsi="Times New Roman CYR" w:cs="Times New Roman CYR"/>
          <w:bCs/>
          <w:sz w:val="28"/>
          <w:szCs w:val="28"/>
        </w:rPr>
        <w:t xml:space="preserve">26, </w:t>
      </w:r>
      <w:r w:rsidR="002C689C">
        <w:rPr>
          <w:rFonts w:ascii="Times New Roman CYR" w:hAnsi="Times New Roman CYR" w:cs="Times New Roman CYR"/>
          <w:bCs/>
          <w:sz w:val="28"/>
          <w:szCs w:val="28"/>
        </w:rPr>
        <w:t xml:space="preserve">статтею </w:t>
      </w:r>
      <w:r w:rsidRPr="007C28BB">
        <w:rPr>
          <w:rFonts w:ascii="Times New Roman CYR" w:hAnsi="Times New Roman CYR" w:cs="Times New Roman CYR"/>
          <w:bCs/>
          <w:sz w:val="28"/>
          <w:szCs w:val="28"/>
        </w:rPr>
        <w:t>59 Закону України «Про місцеве самоврядування в Україні»,</w:t>
      </w:r>
      <w:r w:rsidR="007C28BB">
        <w:rPr>
          <w:rFonts w:ascii="Times New Roman CYR" w:hAnsi="Times New Roman CYR" w:cs="Times New Roman CYR"/>
          <w:bCs/>
          <w:sz w:val="28"/>
          <w:szCs w:val="28"/>
        </w:rPr>
        <w:t xml:space="preserve"> відповідно до Закону України «Про правовий режим воєнного стану», Закону України «Про мобілізаційну підготовку та мобілізацію», Закону України «Про гуманітарну допомогу», враховуючи зверн</w:t>
      </w:r>
      <w:r w:rsidR="002C689C">
        <w:rPr>
          <w:rFonts w:ascii="Times New Roman CYR" w:hAnsi="Times New Roman CYR" w:cs="Times New Roman CYR"/>
          <w:bCs/>
          <w:sz w:val="28"/>
          <w:szCs w:val="28"/>
        </w:rPr>
        <w:t>ення тимчасово виконуючого обов’</w:t>
      </w:r>
      <w:r w:rsidR="007C28BB">
        <w:rPr>
          <w:rFonts w:ascii="Times New Roman CYR" w:hAnsi="Times New Roman CYR" w:cs="Times New Roman CYR"/>
          <w:bCs/>
          <w:sz w:val="28"/>
          <w:szCs w:val="28"/>
        </w:rPr>
        <w:t xml:space="preserve">язки командира військової частини А1108 Віктора БУЯЛЬСЬКОГО  </w:t>
      </w:r>
      <w:r w:rsidR="00D75E5F">
        <w:rPr>
          <w:rFonts w:ascii="Times New Roman CYR" w:hAnsi="Times New Roman CYR" w:cs="Times New Roman CYR"/>
          <w:bCs/>
          <w:sz w:val="28"/>
          <w:szCs w:val="28"/>
        </w:rPr>
        <w:t xml:space="preserve">від 09 лютого 2024 року, беручи до уваги постійну потребу в забезпеченні обороноздатності держави та відсічі збройної агресії російської федерації в районах бойових дій, враховуючи рекомендації постійної комісії з питань комунальної власності, житлово-комунального господарства, енергозбереження та транспорту, селищна рада </w:t>
      </w:r>
    </w:p>
    <w:p w:rsidR="00B1223A" w:rsidRPr="00B1223A" w:rsidRDefault="00D75E5F" w:rsidP="00D75E5F">
      <w:pPr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75E5F"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B1223A" w:rsidRDefault="00B1223A" w:rsidP="00A95F0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1223A">
        <w:rPr>
          <w:rFonts w:ascii="Times New Roman CYR" w:hAnsi="Times New Roman CYR" w:cs="Times New Roman CYR"/>
          <w:bCs/>
          <w:sz w:val="28"/>
          <w:szCs w:val="28"/>
        </w:rPr>
        <w:t xml:space="preserve">Надати згоду на безоплатну  передачу майна (додаток 1) комунальної власності Східницької селищної ради на баланс військової частини А1108 </w:t>
      </w:r>
      <w:r>
        <w:rPr>
          <w:rFonts w:ascii="Times New Roman CYR" w:hAnsi="Times New Roman CYR" w:cs="Times New Roman CYR"/>
          <w:bCs/>
          <w:sz w:val="28"/>
          <w:szCs w:val="28"/>
        </w:rPr>
        <w:t>(Код ЄДРПОУ-08113287).</w:t>
      </w:r>
    </w:p>
    <w:p w:rsidR="00D566DB" w:rsidRDefault="00B1223A" w:rsidP="00A95F0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Передачу основних засобів на баланс військової частини А1108 здійснювати комісії у складі: Кость П.С.</w:t>
      </w:r>
      <w:r w:rsidR="002C689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2C689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заступник селищного голови з питань діяльності виконавчих органів</w:t>
      </w:r>
      <w:r w:rsidR="00D566DB">
        <w:rPr>
          <w:rFonts w:ascii="Times New Roman CYR" w:hAnsi="Times New Roman CYR" w:cs="Times New Roman CYR"/>
          <w:bCs/>
          <w:sz w:val="28"/>
          <w:szCs w:val="28"/>
        </w:rPr>
        <w:t>, Журавчак Г.О.</w:t>
      </w:r>
      <w:r w:rsidR="002C689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66DB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2C689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66DB">
        <w:rPr>
          <w:rFonts w:ascii="Times New Roman CYR" w:hAnsi="Times New Roman CYR" w:cs="Times New Roman CYR"/>
          <w:bCs/>
          <w:sz w:val="28"/>
          <w:szCs w:val="28"/>
        </w:rPr>
        <w:t>головний бухгалтер Східницької селищної ради, Свищ В.Л.</w:t>
      </w:r>
      <w:r w:rsidR="002C689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66DB">
        <w:rPr>
          <w:rFonts w:ascii="Times New Roman CYR" w:hAnsi="Times New Roman CYR" w:cs="Times New Roman CYR"/>
          <w:bCs/>
          <w:sz w:val="28"/>
          <w:szCs w:val="28"/>
        </w:rPr>
        <w:t>- депутат Східницької селищної ради, Гірник О.Р. –депутат Східницької селищної ради, представник військової частини А1108.</w:t>
      </w:r>
    </w:p>
    <w:p w:rsidR="00D566DB" w:rsidRDefault="00D566DB" w:rsidP="00A95F0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Контроль за виконанням даного рішення покласти на постійну комісію з питань комунальної власності житлово-комунального господарства, енергозбереження  та транспорту.</w:t>
      </w:r>
    </w:p>
    <w:p w:rsidR="00B1223A" w:rsidRDefault="00B1223A" w:rsidP="00D566DB">
      <w:pPr>
        <w:spacing w:line="240" w:lineRule="auto"/>
        <w:ind w:left="360"/>
        <w:rPr>
          <w:rFonts w:ascii="Times New Roman CYR" w:hAnsi="Times New Roman CYR" w:cs="Times New Roman CYR"/>
          <w:bCs/>
          <w:sz w:val="28"/>
          <w:szCs w:val="28"/>
        </w:rPr>
      </w:pPr>
      <w:r w:rsidRPr="00D566D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2C689C" w:rsidRDefault="002C689C" w:rsidP="00D566DB">
      <w:pPr>
        <w:spacing w:line="240" w:lineRule="auto"/>
        <w:ind w:left="360"/>
        <w:rPr>
          <w:rFonts w:ascii="Times New Roman CYR" w:hAnsi="Times New Roman CYR" w:cs="Times New Roman CYR"/>
          <w:bCs/>
          <w:sz w:val="28"/>
          <w:szCs w:val="28"/>
        </w:rPr>
      </w:pPr>
    </w:p>
    <w:p w:rsidR="00D75E5F" w:rsidRPr="00A95F02" w:rsidRDefault="00A54B32" w:rsidP="002C689C">
      <w:pPr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95F02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Селищний голова                         </w:t>
      </w:r>
      <w:r w:rsidR="00A95F02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  <w:r w:rsidRPr="00A95F02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Іван ПІЛЯК</w:t>
      </w:r>
    </w:p>
    <w:p w:rsidR="00D75E5F" w:rsidRPr="00D566DB" w:rsidRDefault="00D75E5F" w:rsidP="00D75E5F">
      <w:pPr>
        <w:spacing w:line="240" w:lineRule="auto"/>
        <w:ind w:left="360" w:hanging="360"/>
        <w:rPr>
          <w:rFonts w:ascii="Times New Roman CYR" w:hAnsi="Times New Roman CYR" w:cs="Times New Roman CYR"/>
          <w:bCs/>
          <w:sz w:val="28"/>
          <w:szCs w:val="28"/>
        </w:rPr>
      </w:pPr>
    </w:p>
    <w:p w:rsidR="00B1223A" w:rsidRDefault="00B1223A" w:rsidP="00B1223A">
      <w:pPr>
        <w:spacing w:line="240" w:lineRule="auto"/>
      </w:pPr>
    </w:p>
    <w:p w:rsidR="00DA5474" w:rsidRDefault="00DA5474"/>
    <w:p w:rsidR="002C689C" w:rsidRDefault="002C689C"/>
    <w:p w:rsidR="00D75E5F" w:rsidRDefault="00D75E5F"/>
    <w:p w:rsidR="00D75E5F" w:rsidRDefault="00D75E5F" w:rsidP="002C689C">
      <w:pPr>
        <w:tabs>
          <w:tab w:val="left" w:pos="6470"/>
        </w:tabs>
        <w:autoSpaceDE w:val="0"/>
        <w:autoSpaceDN w:val="0"/>
        <w:adjustRightInd w:val="0"/>
        <w:spacing w:after="0"/>
        <w:ind w:left="5245" w:right="7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2D81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                        </w:t>
      </w:r>
      <w:r w:rsidRPr="00802D81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 </w:t>
      </w:r>
    </w:p>
    <w:p w:rsidR="002C689C" w:rsidRDefault="002C689C" w:rsidP="002C689C">
      <w:pPr>
        <w:tabs>
          <w:tab w:val="left" w:pos="6470"/>
        </w:tabs>
        <w:autoSpaceDE w:val="0"/>
        <w:autoSpaceDN w:val="0"/>
        <w:adjustRightInd w:val="0"/>
        <w:spacing w:after="0"/>
        <w:ind w:left="5245" w:right="74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                        Додаток 1</w:t>
      </w:r>
    </w:p>
    <w:p w:rsidR="002C689C" w:rsidRDefault="002C689C" w:rsidP="002C689C">
      <w:pPr>
        <w:autoSpaceDE w:val="0"/>
        <w:autoSpaceDN w:val="0"/>
        <w:adjustRightInd w:val="0"/>
        <w:spacing w:after="0"/>
        <w:ind w:left="524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до рішення від 08.03.2024р.  </w:t>
      </w:r>
    </w:p>
    <w:p w:rsidR="00D75E5F" w:rsidRPr="00802D81" w:rsidRDefault="00D75E5F" w:rsidP="00D75E5F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  <w:lang w:val="ru-RU"/>
        </w:rPr>
      </w:pPr>
    </w:p>
    <w:p w:rsidR="00D75E5F" w:rsidRPr="00802D81" w:rsidRDefault="00D75E5F" w:rsidP="00D75E5F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D75E5F" w:rsidRDefault="00D75E5F" w:rsidP="00D75E5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Перелік комунального майна, що передається</w:t>
      </w:r>
    </w:p>
    <w:p w:rsidR="00D75E5F" w:rsidRDefault="00D75E5F" w:rsidP="00D75E5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Східницької селищної  ради на баланс військової частини В1108</w:t>
      </w:r>
    </w:p>
    <w:p w:rsidR="00D75E5F" w:rsidRPr="00802D81" w:rsidRDefault="00D75E5F" w:rsidP="00D75E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7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40"/>
        <w:gridCol w:w="1163"/>
        <w:gridCol w:w="851"/>
        <w:gridCol w:w="850"/>
        <w:gridCol w:w="851"/>
        <w:gridCol w:w="1275"/>
        <w:gridCol w:w="1134"/>
        <w:gridCol w:w="1247"/>
      </w:tblGrid>
      <w:tr w:rsidR="00D75E5F" w:rsidRPr="00733083" w:rsidTr="00646763">
        <w:trPr>
          <w:trHeight w:val="211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733083" w:rsidRDefault="00D75E5F" w:rsidP="0064676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73308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733083" w:rsidRDefault="00D75E5F" w:rsidP="0064676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Найменування майна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689C" w:rsidRDefault="00D75E5F" w:rsidP="002C689C">
            <w:pPr>
              <w:autoSpaceDE w:val="0"/>
              <w:autoSpaceDN w:val="0"/>
              <w:adjustRightInd w:val="0"/>
              <w:spacing w:after="0"/>
              <w:ind w:left="-11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Інвентар</w:t>
            </w:r>
          </w:p>
          <w:p w:rsidR="002C689C" w:rsidRDefault="00D75E5F" w:rsidP="002C689C">
            <w:pPr>
              <w:autoSpaceDE w:val="0"/>
              <w:autoSpaceDN w:val="0"/>
              <w:adjustRightInd w:val="0"/>
              <w:spacing w:after="0"/>
              <w:ind w:left="-11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ний (номенклатурний)</w:t>
            </w:r>
          </w:p>
          <w:p w:rsidR="00D75E5F" w:rsidRPr="00733083" w:rsidRDefault="00D75E5F" w:rsidP="002C689C">
            <w:pPr>
              <w:autoSpaceDE w:val="0"/>
              <w:autoSpaceDN w:val="0"/>
              <w:adjustRightInd w:val="0"/>
              <w:spacing w:after="0"/>
              <w:ind w:left="-112" w:right="-74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689C" w:rsidRDefault="00D75E5F" w:rsidP="002C689C">
            <w:pPr>
              <w:autoSpaceDE w:val="0"/>
              <w:autoSpaceDN w:val="0"/>
              <w:adjustRightInd w:val="0"/>
              <w:spacing w:after="0"/>
              <w:ind w:left="-142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Рік придба</w:t>
            </w:r>
          </w:p>
          <w:p w:rsidR="00D75E5F" w:rsidRPr="00733083" w:rsidRDefault="00D75E5F" w:rsidP="002C689C">
            <w:pPr>
              <w:autoSpaceDE w:val="0"/>
              <w:autoSpaceDN w:val="0"/>
              <w:adjustRightInd w:val="0"/>
              <w:spacing w:after="0"/>
              <w:ind w:left="-142" w:right="-84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 xml:space="preserve">ння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689C" w:rsidRDefault="00D75E5F" w:rsidP="002C689C">
            <w:pPr>
              <w:autoSpaceDE w:val="0"/>
              <w:autoSpaceDN w:val="0"/>
              <w:adjustRightInd w:val="0"/>
              <w:spacing w:after="0"/>
              <w:ind w:left="-144"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Одини</w:t>
            </w:r>
          </w:p>
          <w:p w:rsidR="00D75E5F" w:rsidRPr="00733083" w:rsidRDefault="00D75E5F" w:rsidP="002C689C">
            <w:pPr>
              <w:autoSpaceDE w:val="0"/>
              <w:autoSpaceDN w:val="0"/>
              <w:adjustRightInd w:val="0"/>
              <w:spacing w:after="0"/>
              <w:ind w:left="-144" w:right="-83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ця виміру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689C" w:rsidRDefault="00D75E5F" w:rsidP="002C689C">
            <w:pPr>
              <w:autoSpaceDE w:val="0"/>
              <w:autoSpaceDN w:val="0"/>
              <w:adjustRightInd w:val="0"/>
              <w:spacing w:after="0"/>
              <w:ind w:left="-133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Кількі</w:t>
            </w:r>
          </w:p>
          <w:p w:rsidR="00D75E5F" w:rsidRPr="00733083" w:rsidRDefault="00D75E5F" w:rsidP="002C689C">
            <w:pPr>
              <w:autoSpaceDE w:val="0"/>
              <w:autoSpaceDN w:val="0"/>
              <w:adjustRightInd w:val="0"/>
              <w:spacing w:after="0"/>
              <w:ind w:left="-133" w:right="-81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сть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733083" w:rsidRDefault="002C689C" w:rsidP="002C689C">
            <w:pPr>
              <w:autoSpaceDE w:val="0"/>
              <w:autoSpaceDN w:val="0"/>
              <w:adjustRightInd w:val="0"/>
              <w:spacing w:after="0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 (первісна</w:t>
            </w:r>
            <w:r w:rsidR="00D75E5F" w:rsidRPr="00733083">
              <w:rPr>
                <w:rFonts w:ascii="Times New Roman" w:hAnsi="Times New Roman"/>
                <w:sz w:val="24"/>
                <w:szCs w:val="24"/>
              </w:rPr>
              <w:t>) вартість,</w:t>
            </w:r>
          </w:p>
          <w:p w:rsidR="00D75E5F" w:rsidRPr="00733083" w:rsidRDefault="002C689C" w:rsidP="002C689C">
            <w:pPr>
              <w:autoSpaceDE w:val="0"/>
              <w:autoSpaceDN w:val="0"/>
              <w:adjustRightInd w:val="0"/>
              <w:spacing w:after="0"/>
              <w:ind w:right="-8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733083" w:rsidRDefault="002C689C" w:rsidP="0064676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Знос, грн.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733083" w:rsidRDefault="00D75E5F" w:rsidP="002C689C">
            <w:pPr>
              <w:autoSpaceDE w:val="0"/>
              <w:autoSpaceDN w:val="0"/>
              <w:adjustRightInd w:val="0"/>
              <w:spacing w:after="0"/>
              <w:ind w:left="-137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Залишкова вартість, грн.</w:t>
            </w:r>
          </w:p>
        </w:tc>
      </w:tr>
      <w:tr w:rsidR="00D75E5F" w:rsidRPr="00733083" w:rsidTr="0064676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733083" w:rsidRDefault="00D75E5F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A54B32" w:rsidRDefault="00D75E5F" w:rsidP="006467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Світлодіодний світильник зенітний прожектор </w:t>
            </w:r>
            <w:r>
              <w:rPr>
                <w:rFonts w:ascii="Times New Roman" w:hAnsi="Times New Roman"/>
                <w:lang w:val="en-US"/>
              </w:rPr>
              <w:t>TRL</w:t>
            </w:r>
            <w:r w:rsidRPr="00A54B32">
              <w:rPr>
                <w:rFonts w:ascii="Times New Roman" w:hAnsi="Times New Roman"/>
                <w:lang w:val="en-US"/>
              </w:rPr>
              <w:t>-135</w:t>
            </w:r>
            <w:r>
              <w:rPr>
                <w:rFonts w:ascii="Times New Roman" w:hAnsi="Times New Roman"/>
                <w:lang w:val="en-US"/>
              </w:rPr>
              <w:t>W</w:t>
            </w:r>
            <w:r w:rsidRPr="00A54B3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A54B32">
              <w:rPr>
                <w:rFonts w:ascii="Times New Roman" w:hAnsi="Times New Roman"/>
                <w:lang w:val="en-US"/>
              </w:rPr>
              <w:t xml:space="preserve"> +</w:t>
            </w:r>
            <w:r w:rsidR="00A54B32" w:rsidRPr="00A54B32">
              <w:rPr>
                <w:rFonts w:ascii="Times New Roman" w:hAnsi="Times New Roman"/>
                <w:lang w:val="en-US"/>
              </w:rPr>
              <w:t xml:space="preserve">860-1*1 </w:t>
            </w:r>
            <w:r w:rsidR="00A54B32">
              <w:rPr>
                <w:rFonts w:ascii="Times New Roman" w:hAnsi="Times New Roman"/>
              </w:rPr>
              <w:t>зі стійкою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A54B32" w:rsidRDefault="00D75E5F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733083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D729C5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D729C5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514713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D729C5" w:rsidRDefault="00D75E5F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D729C5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90000,00</w:t>
            </w:r>
          </w:p>
        </w:tc>
      </w:tr>
      <w:tr w:rsidR="00A54B32" w:rsidRPr="00733083" w:rsidTr="0064676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4B32" w:rsidRPr="00A54B32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4B32" w:rsidRPr="00A54B32" w:rsidRDefault="00A54B32" w:rsidP="006467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Поворотна тринога з лазером та прожектором під тепловізор, монітор 7</w:t>
            </w:r>
            <w:r w:rsidRPr="00A54B32">
              <w:rPr>
                <w:rFonts w:ascii="Times New Roman" w:hAnsi="Times New Roman"/>
                <w:lang w:val="ru-RU"/>
              </w:rPr>
              <w:t>”</w:t>
            </w:r>
            <w:r>
              <w:rPr>
                <w:rFonts w:ascii="Times New Roman" w:hAnsi="Times New Roman"/>
              </w:rPr>
              <w:t>1024</w:t>
            </w:r>
            <w:r w:rsidRPr="00A54B3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HDMI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4B32" w:rsidRPr="00A54B32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4B32" w:rsidRPr="00733083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4B32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4B32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4B32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69600,00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4B32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4B32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69600,00</w:t>
            </w:r>
          </w:p>
        </w:tc>
      </w:tr>
      <w:tr w:rsidR="00D75E5F" w:rsidRPr="00143908" w:rsidTr="0064676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A54B32" w:rsidRDefault="00D75E5F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143908" w:rsidRDefault="00D75E5F" w:rsidP="006467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143908" w:rsidRDefault="00D75E5F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143908" w:rsidRDefault="00D75E5F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143908" w:rsidRDefault="00D75E5F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143908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143908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159600,00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143908" w:rsidRDefault="00D75E5F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5E5F" w:rsidRPr="00143908" w:rsidRDefault="00A54B32" w:rsidP="00646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159600,00</w:t>
            </w:r>
          </w:p>
        </w:tc>
      </w:tr>
    </w:tbl>
    <w:p w:rsidR="00D75E5F" w:rsidRDefault="00D75E5F" w:rsidP="00D75E5F"/>
    <w:p w:rsidR="00D75E5F" w:rsidRDefault="00D75E5F"/>
    <w:sectPr w:rsidR="00D75E5F" w:rsidSect="002C68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34C98"/>
    <w:multiLevelType w:val="hybridMultilevel"/>
    <w:tmpl w:val="B6C06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3A"/>
    <w:rsid w:val="002C689C"/>
    <w:rsid w:val="00790FC8"/>
    <w:rsid w:val="007C28BB"/>
    <w:rsid w:val="00A54B32"/>
    <w:rsid w:val="00A95F02"/>
    <w:rsid w:val="00B1223A"/>
    <w:rsid w:val="00D566DB"/>
    <w:rsid w:val="00D75E5F"/>
    <w:rsid w:val="00DA5474"/>
    <w:rsid w:val="00E4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DE13A-7863-4995-9F0A-10F70A5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2024-03-06T11:03:00Z</dcterms:created>
  <dcterms:modified xsi:type="dcterms:W3CDTF">2024-03-08T10:45:00Z</dcterms:modified>
</cp:coreProperties>
</file>